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92B3" w14:textId="2723D16B" w:rsidR="006E28DE" w:rsidRPr="00E74A33" w:rsidRDefault="006E28DE" w:rsidP="00E74A33">
      <w:pPr>
        <w:spacing w:line="276" w:lineRule="auto"/>
        <w:ind w:left="2880" w:firstLine="720"/>
        <w:jc w:val="both"/>
        <w:rPr>
          <w:rFonts w:ascii="Arial" w:hAnsi="Arial" w:cs="Arial"/>
          <w:b/>
          <w:bCs/>
          <w:u w:val="single"/>
        </w:rPr>
      </w:pPr>
      <w:r w:rsidRPr="00E74A33">
        <w:rPr>
          <w:rFonts w:ascii="Arial" w:hAnsi="Arial" w:cs="Arial"/>
          <w:b/>
          <w:bCs/>
          <w:u w:val="single"/>
        </w:rPr>
        <w:t>East Africa Factsheet</w:t>
      </w:r>
    </w:p>
    <w:p w14:paraId="7D0040D6" w14:textId="287D3BF9" w:rsidR="00EC44C3" w:rsidRPr="00E74A33" w:rsidRDefault="00EC44C3" w:rsidP="00E74A33">
      <w:pPr>
        <w:spacing w:line="276" w:lineRule="auto"/>
        <w:jc w:val="both"/>
        <w:rPr>
          <w:rFonts w:ascii="Arial" w:hAnsi="Arial" w:cs="Arial"/>
          <w:b/>
          <w:bCs/>
        </w:rPr>
      </w:pPr>
      <w:r w:rsidRPr="00E74A33">
        <w:rPr>
          <w:rFonts w:ascii="Arial" w:hAnsi="Arial" w:cs="Arial"/>
          <w:b/>
          <w:bCs/>
        </w:rPr>
        <w:t>East African Countries</w:t>
      </w:r>
    </w:p>
    <w:p w14:paraId="0DC44D27" w14:textId="7227435F" w:rsidR="00EC44C3" w:rsidRPr="00E74A33" w:rsidRDefault="00EC44C3" w:rsidP="00E74A33">
      <w:pPr>
        <w:spacing w:line="276" w:lineRule="auto"/>
        <w:jc w:val="both"/>
        <w:rPr>
          <w:rFonts w:ascii="Arial" w:hAnsi="Arial" w:cs="Arial"/>
        </w:rPr>
      </w:pPr>
      <w:r w:rsidRPr="00E74A33">
        <w:rPr>
          <w:rFonts w:ascii="Arial" w:hAnsi="Arial" w:cs="Arial"/>
        </w:rPr>
        <w:t xml:space="preserve">Burundi, Comoros, Djibouti, Ethiopia, Eritrea, Kenya, Rwanda, Seychelles, Somalia, South Sudan, Sudan, </w:t>
      </w:r>
      <w:proofErr w:type="gramStart"/>
      <w:r w:rsidRPr="00E74A33">
        <w:rPr>
          <w:rFonts w:ascii="Arial" w:hAnsi="Arial" w:cs="Arial"/>
        </w:rPr>
        <w:t>Tanzania</w:t>
      </w:r>
      <w:proofErr w:type="gramEnd"/>
      <w:r w:rsidRPr="00E74A33">
        <w:rPr>
          <w:rFonts w:ascii="Arial" w:hAnsi="Arial" w:cs="Arial"/>
        </w:rPr>
        <w:t xml:space="preserve"> and Uganda.</w:t>
      </w:r>
    </w:p>
    <w:p w14:paraId="15C9EB04" w14:textId="77777777" w:rsidR="00823625" w:rsidRPr="00E74A33" w:rsidRDefault="00823625" w:rsidP="00E74A33">
      <w:pPr>
        <w:spacing w:line="276" w:lineRule="auto"/>
        <w:jc w:val="both"/>
        <w:rPr>
          <w:rFonts w:ascii="Arial" w:hAnsi="Arial" w:cs="Arial"/>
        </w:rPr>
      </w:pPr>
    </w:p>
    <w:p w14:paraId="16EA3B35" w14:textId="19881CEA" w:rsidR="00823625" w:rsidRPr="00E74A33" w:rsidRDefault="00823625" w:rsidP="00E74A33">
      <w:pPr>
        <w:spacing w:line="276" w:lineRule="auto"/>
        <w:jc w:val="both"/>
        <w:rPr>
          <w:rFonts w:ascii="Arial" w:eastAsia="Times New Roman" w:hAnsi="Arial" w:cs="Arial"/>
          <w:b/>
          <w:bCs/>
          <w:lang w:val="en-ZA" w:eastAsia="en-GB"/>
        </w:rPr>
      </w:pPr>
      <w:r w:rsidRPr="00E74A33">
        <w:rPr>
          <w:rFonts w:ascii="Arial" w:eastAsia="Times New Roman" w:hAnsi="Arial" w:cs="Arial"/>
          <w:b/>
          <w:bCs/>
          <w:lang w:val="en-ZA" w:eastAsia="en-GB"/>
        </w:rPr>
        <w:t>Peace and security dynamics in East Africa</w:t>
      </w:r>
    </w:p>
    <w:p w14:paraId="32EE2184" w14:textId="77777777" w:rsidR="00823625" w:rsidRPr="00E74A33" w:rsidRDefault="00823625" w:rsidP="00E74A33">
      <w:pPr>
        <w:pStyle w:val="ListParagraph"/>
        <w:numPr>
          <w:ilvl w:val="0"/>
          <w:numId w:val="1"/>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Geopolitically, East Africa is part of at least two interlinked regional security complexes: the Horn of Africa and the African Great Lakes complex. This fact sheet will consider influences of both complexes in the sub-region, with the implication that some conflicts will span beyond member states of the EAC to others constituting the Great Lakes and Horn of Africa.</w:t>
      </w:r>
    </w:p>
    <w:p w14:paraId="7488A6CE" w14:textId="77777777" w:rsidR="00823625" w:rsidRPr="00E74A33" w:rsidRDefault="00823625" w:rsidP="00E74A33">
      <w:pPr>
        <w:pStyle w:val="ListParagraph"/>
        <w:numPr>
          <w:ilvl w:val="0"/>
          <w:numId w:val="1"/>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Two of the five least safe and most insecure countries in the world are from eastern African: Somalia and South Sudan</w:t>
      </w:r>
    </w:p>
    <w:p w14:paraId="39743595" w14:textId="77777777" w:rsidR="00B94930" w:rsidRPr="00E74A33" w:rsidRDefault="00B94930" w:rsidP="00E74A33">
      <w:pPr>
        <w:pStyle w:val="ListParagraph"/>
        <w:numPr>
          <w:ilvl w:val="0"/>
          <w:numId w:val="1"/>
        </w:numPr>
        <w:spacing w:line="276" w:lineRule="auto"/>
        <w:jc w:val="both"/>
        <w:rPr>
          <w:rFonts w:ascii="Arial" w:eastAsia="Times New Roman" w:hAnsi="Arial" w:cs="Arial"/>
          <w:lang w:val="en-ZA" w:eastAsia="en-GB"/>
        </w:rPr>
      </w:pPr>
      <w:r w:rsidRPr="00E74A33">
        <w:rPr>
          <w:rFonts w:ascii="Arial" w:eastAsia="Times New Roman" w:hAnsi="Arial" w:cs="Arial"/>
          <w:lang w:val="en-US" w:eastAsia="en-GB"/>
        </w:rPr>
        <w:t xml:space="preserve">Somalia since 1991-devasting for both national and regional security and has become </w:t>
      </w:r>
      <w:proofErr w:type="gramStart"/>
      <w:r w:rsidRPr="00E74A33">
        <w:rPr>
          <w:rFonts w:ascii="Arial" w:eastAsia="Times New Roman" w:hAnsi="Arial" w:cs="Arial"/>
          <w:lang w:val="en-US" w:eastAsia="en-GB"/>
        </w:rPr>
        <w:t>a safe haven</w:t>
      </w:r>
      <w:proofErr w:type="gramEnd"/>
      <w:r w:rsidRPr="00E74A33">
        <w:rPr>
          <w:rFonts w:ascii="Arial" w:eastAsia="Times New Roman" w:hAnsi="Arial" w:cs="Arial"/>
          <w:lang w:val="en-US" w:eastAsia="en-GB"/>
        </w:rPr>
        <w:t xml:space="preserve"> for international terrorism</w:t>
      </w:r>
    </w:p>
    <w:p w14:paraId="3A385BA3" w14:textId="77777777" w:rsidR="00B94930" w:rsidRPr="00E74A33" w:rsidRDefault="00B94930" w:rsidP="00E74A33">
      <w:pPr>
        <w:pStyle w:val="ListParagraph"/>
        <w:numPr>
          <w:ilvl w:val="0"/>
          <w:numId w:val="1"/>
        </w:numPr>
        <w:spacing w:line="276" w:lineRule="auto"/>
        <w:jc w:val="both"/>
        <w:rPr>
          <w:rFonts w:ascii="Arial" w:eastAsia="Times New Roman" w:hAnsi="Arial" w:cs="Arial"/>
          <w:lang w:val="en-ZA" w:eastAsia="en-GB"/>
        </w:rPr>
      </w:pPr>
      <w:r w:rsidRPr="00E74A33">
        <w:rPr>
          <w:rFonts w:ascii="Arial" w:eastAsia="Times New Roman" w:hAnsi="Arial" w:cs="Arial"/>
          <w:lang w:val="en-US" w:eastAsia="en-GB"/>
        </w:rPr>
        <w:t>Kenya-since return to multi-</w:t>
      </w:r>
      <w:proofErr w:type="spellStart"/>
      <w:r w:rsidRPr="00E74A33">
        <w:rPr>
          <w:rFonts w:ascii="Arial" w:eastAsia="Times New Roman" w:hAnsi="Arial" w:cs="Arial"/>
          <w:lang w:val="en-US" w:eastAsia="en-GB"/>
        </w:rPr>
        <w:t>partyism</w:t>
      </w:r>
      <w:proofErr w:type="spellEnd"/>
      <w:r w:rsidRPr="00E74A33">
        <w:rPr>
          <w:rFonts w:ascii="Arial" w:eastAsia="Times New Roman" w:hAnsi="Arial" w:cs="Arial"/>
          <w:lang w:val="en-US" w:eastAsia="en-GB"/>
        </w:rPr>
        <w:t xml:space="preserve"> in 1992-ethnic violence in electoral years</w:t>
      </w:r>
      <w:r w:rsidR="00823625" w:rsidRPr="00E74A33">
        <w:rPr>
          <w:rFonts w:ascii="Arial" w:eastAsia="Times New Roman" w:hAnsi="Arial" w:cs="Arial"/>
          <w:lang w:val="en-US" w:eastAsia="en-GB"/>
        </w:rPr>
        <w:t xml:space="preserve"> </w:t>
      </w:r>
      <w:r w:rsidRPr="00E74A33">
        <w:rPr>
          <w:rFonts w:ascii="Arial" w:eastAsia="Times New Roman" w:hAnsi="Arial" w:cs="Arial"/>
          <w:lang w:val="en-US" w:eastAsia="en-GB"/>
        </w:rPr>
        <w:t>coupled with rise of criminal gangs-</w:t>
      </w:r>
      <w:proofErr w:type="spellStart"/>
      <w:r w:rsidRPr="00E74A33">
        <w:rPr>
          <w:rFonts w:ascii="Arial" w:eastAsia="Times New Roman" w:hAnsi="Arial" w:cs="Arial"/>
          <w:lang w:val="en-US" w:eastAsia="en-GB"/>
        </w:rPr>
        <w:t>Mungiki</w:t>
      </w:r>
      <w:proofErr w:type="spellEnd"/>
      <w:r w:rsidRPr="00E74A33">
        <w:rPr>
          <w:rFonts w:ascii="Arial" w:eastAsia="Times New Roman" w:hAnsi="Arial" w:cs="Arial"/>
          <w:lang w:val="en-US" w:eastAsia="en-GB"/>
        </w:rPr>
        <w:t>, SLDF, MRC, numerous militias</w:t>
      </w:r>
    </w:p>
    <w:p w14:paraId="1F205322" w14:textId="77777777" w:rsidR="00B94930" w:rsidRPr="00E74A33" w:rsidRDefault="00B94930" w:rsidP="00E74A33">
      <w:pPr>
        <w:numPr>
          <w:ilvl w:val="0"/>
          <w:numId w:val="1"/>
        </w:numPr>
        <w:spacing w:line="276" w:lineRule="auto"/>
        <w:jc w:val="both"/>
        <w:rPr>
          <w:rFonts w:ascii="Arial" w:eastAsia="Times New Roman" w:hAnsi="Arial" w:cs="Arial"/>
          <w:lang w:val="en-ZA" w:eastAsia="en-GB"/>
        </w:rPr>
      </w:pPr>
      <w:r w:rsidRPr="00E74A33">
        <w:rPr>
          <w:rFonts w:ascii="Arial" w:eastAsia="Times New Roman" w:hAnsi="Arial" w:cs="Arial"/>
          <w:lang w:val="en-US" w:eastAsia="en-GB"/>
        </w:rPr>
        <w:t>Rwanda-Genocide and the after effect</w:t>
      </w:r>
    </w:p>
    <w:p w14:paraId="36220DCD" w14:textId="77777777" w:rsidR="00B94930" w:rsidRPr="00E74A33" w:rsidRDefault="00B94930" w:rsidP="00E74A33">
      <w:pPr>
        <w:numPr>
          <w:ilvl w:val="0"/>
          <w:numId w:val="1"/>
        </w:numPr>
        <w:spacing w:line="276" w:lineRule="auto"/>
        <w:jc w:val="both"/>
        <w:rPr>
          <w:rFonts w:ascii="Arial" w:eastAsia="Times New Roman" w:hAnsi="Arial" w:cs="Arial"/>
          <w:lang w:val="en-ZA" w:eastAsia="en-GB"/>
        </w:rPr>
      </w:pPr>
      <w:r w:rsidRPr="00E74A33">
        <w:rPr>
          <w:rFonts w:ascii="Arial" w:eastAsia="Times New Roman" w:hAnsi="Arial" w:cs="Arial"/>
          <w:lang w:val="en-US" w:eastAsia="en-GB"/>
        </w:rPr>
        <w:t>Burundi-Ethnic rivalries</w:t>
      </w:r>
    </w:p>
    <w:p w14:paraId="53785221" w14:textId="77777777" w:rsidR="00823625" w:rsidRPr="00E74A33" w:rsidRDefault="00B94930" w:rsidP="00E74A33">
      <w:pPr>
        <w:numPr>
          <w:ilvl w:val="0"/>
          <w:numId w:val="1"/>
        </w:numPr>
        <w:spacing w:line="276" w:lineRule="auto"/>
        <w:jc w:val="both"/>
        <w:rPr>
          <w:rFonts w:ascii="Arial" w:eastAsia="Times New Roman" w:hAnsi="Arial" w:cs="Arial"/>
          <w:lang w:val="en-US" w:eastAsia="en-GB"/>
        </w:rPr>
      </w:pPr>
      <w:r w:rsidRPr="00E74A33">
        <w:rPr>
          <w:rFonts w:ascii="Arial" w:eastAsia="Times New Roman" w:hAnsi="Arial" w:cs="Arial"/>
          <w:lang w:val="en-US" w:eastAsia="en-GB"/>
        </w:rPr>
        <w:t>South Sudan – Ethnic and Leadership rivalries</w:t>
      </w:r>
    </w:p>
    <w:p w14:paraId="49F3A1F7" w14:textId="77777777" w:rsidR="00823625" w:rsidRPr="00E74A33" w:rsidRDefault="00823625" w:rsidP="00E74A33">
      <w:pPr>
        <w:numPr>
          <w:ilvl w:val="0"/>
          <w:numId w:val="1"/>
        </w:numPr>
        <w:spacing w:line="276" w:lineRule="auto"/>
        <w:jc w:val="both"/>
        <w:rPr>
          <w:rFonts w:ascii="Arial" w:eastAsia="Times New Roman" w:hAnsi="Arial" w:cs="Arial"/>
          <w:lang w:val="en-US" w:eastAsia="en-GB"/>
        </w:rPr>
      </w:pPr>
      <w:r w:rsidRPr="00E74A33">
        <w:rPr>
          <w:rFonts w:ascii="Arial" w:eastAsia="Times New Roman" w:hAnsi="Arial" w:cs="Arial"/>
          <w:lang w:val="en-US" w:eastAsia="en-GB"/>
        </w:rPr>
        <w:t xml:space="preserve"> In Eastern Africa, the major terrorist threat derives from the </w:t>
      </w:r>
      <w:proofErr w:type="spellStart"/>
      <w:r w:rsidRPr="00E74A33">
        <w:rPr>
          <w:rFonts w:ascii="Arial" w:eastAsia="Times New Roman" w:hAnsi="Arial" w:cs="Arial"/>
          <w:lang w:val="en-US" w:eastAsia="en-GB"/>
        </w:rPr>
        <w:t>salafi</w:t>
      </w:r>
      <w:proofErr w:type="spellEnd"/>
      <w:r w:rsidRPr="00E74A33">
        <w:rPr>
          <w:rFonts w:ascii="Arial" w:eastAsia="Times New Roman" w:hAnsi="Arial" w:cs="Arial"/>
          <w:lang w:val="en-US" w:eastAsia="en-GB"/>
        </w:rPr>
        <w:t xml:space="preserve">-jihadist </w:t>
      </w:r>
      <w:proofErr w:type="spellStart"/>
      <w:r w:rsidRPr="00E74A33">
        <w:rPr>
          <w:rFonts w:ascii="Arial" w:eastAsia="Times New Roman" w:hAnsi="Arial" w:cs="Arial"/>
          <w:lang w:val="en-US" w:eastAsia="en-GB"/>
        </w:rPr>
        <w:t>organisation</w:t>
      </w:r>
      <w:proofErr w:type="spellEnd"/>
      <w:r w:rsidRPr="00E74A33">
        <w:rPr>
          <w:rFonts w:ascii="Arial" w:eastAsia="Times New Roman" w:hAnsi="Arial" w:cs="Arial"/>
          <w:lang w:val="en-US" w:eastAsia="en-GB"/>
        </w:rPr>
        <w:t xml:space="preserve"> al-Shabaab, which functions primarily out of Somalia. Djibouti, Ethiopia, Kenya, </w:t>
      </w:r>
      <w:proofErr w:type="gramStart"/>
      <w:r w:rsidRPr="00E74A33">
        <w:rPr>
          <w:rFonts w:ascii="Arial" w:eastAsia="Times New Roman" w:hAnsi="Arial" w:cs="Arial"/>
          <w:lang w:val="en-US" w:eastAsia="en-GB"/>
        </w:rPr>
        <w:t>Uganda</w:t>
      </w:r>
      <w:proofErr w:type="gramEnd"/>
      <w:r w:rsidRPr="00E74A33">
        <w:rPr>
          <w:rFonts w:ascii="Arial" w:eastAsia="Times New Roman" w:hAnsi="Arial" w:cs="Arial"/>
          <w:lang w:val="en-US" w:eastAsia="en-GB"/>
        </w:rPr>
        <w:t xml:space="preserve"> and Burundi have been directly involved in trying to counter the organization.</w:t>
      </w:r>
    </w:p>
    <w:p w14:paraId="229962BD" w14:textId="77777777" w:rsidR="00823625" w:rsidRPr="00E74A33" w:rsidRDefault="00823625" w:rsidP="00E74A33">
      <w:pPr>
        <w:pStyle w:val="ListParagraph"/>
        <w:numPr>
          <w:ilvl w:val="0"/>
          <w:numId w:val="1"/>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 xml:space="preserve">There was a coup in Sudan in April 2019 and failed remote insurrections that triggered inter- and intra-ethnic tensions in Ethiopia in June 2019 and South Sudan in December 2013. </w:t>
      </w:r>
    </w:p>
    <w:p w14:paraId="716DB69D" w14:textId="77777777" w:rsidR="00823625" w:rsidRPr="00E74A33" w:rsidRDefault="00823625" w:rsidP="00E74A33">
      <w:pPr>
        <w:pStyle w:val="ListParagraph"/>
        <w:numPr>
          <w:ilvl w:val="0"/>
          <w:numId w:val="1"/>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 xml:space="preserve">There have been varying degrees of civil strife in Kenya (in 2013 and 2017) and Uganda, led by youthful Robert </w:t>
      </w:r>
      <w:proofErr w:type="spellStart"/>
      <w:r w:rsidRPr="00E74A33">
        <w:rPr>
          <w:rFonts w:ascii="Arial" w:eastAsia="Times New Roman" w:hAnsi="Arial" w:cs="Arial"/>
          <w:lang w:val="en-ZA" w:eastAsia="en-GB"/>
        </w:rPr>
        <w:t>Kyagulanyi</w:t>
      </w:r>
      <w:proofErr w:type="spellEnd"/>
      <w:r w:rsidRPr="00E74A33">
        <w:rPr>
          <w:rFonts w:ascii="Arial" w:eastAsia="Times New Roman" w:hAnsi="Arial" w:cs="Arial"/>
          <w:lang w:val="en-ZA" w:eastAsia="en-GB"/>
        </w:rPr>
        <w:t xml:space="preserve">, alias </w:t>
      </w:r>
      <w:proofErr w:type="spellStart"/>
      <w:r w:rsidRPr="00E74A33">
        <w:rPr>
          <w:rFonts w:ascii="Arial" w:eastAsia="Times New Roman" w:hAnsi="Arial" w:cs="Arial"/>
          <w:lang w:val="en-ZA" w:eastAsia="en-GB"/>
        </w:rPr>
        <w:t>Bobi</w:t>
      </w:r>
      <w:proofErr w:type="spellEnd"/>
      <w:r w:rsidRPr="00E74A33">
        <w:rPr>
          <w:rFonts w:ascii="Arial" w:eastAsia="Times New Roman" w:hAnsi="Arial" w:cs="Arial"/>
          <w:lang w:val="en-ZA" w:eastAsia="en-GB"/>
        </w:rPr>
        <w:t xml:space="preserve"> Wine. In Burundi, the late former president Pierre Nkurunziza’s decision in April 2015 to run for a third term led to a failed coup in May 2015 and long-running civil strife.</w:t>
      </w:r>
    </w:p>
    <w:p w14:paraId="19038997" w14:textId="77777777" w:rsidR="00823625" w:rsidRPr="00E74A33" w:rsidRDefault="00823625" w:rsidP="00E74A33">
      <w:pPr>
        <w:pStyle w:val="ListParagraph"/>
        <w:numPr>
          <w:ilvl w:val="0"/>
          <w:numId w:val="1"/>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In the Democratic Republic of Congo (DRC) there has been political volatility and fighting in the eastern regions for over two decades.</w:t>
      </w:r>
    </w:p>
    <w:p w14:paraId="37C236B4" w14:textId="77777777" w:rsidR="00823625" w:rsidRPr="00E74A33" w:rsidRDefault="00823625" w:rsidP="00E74A33">
      <w:pPr>
        <w:spacing w:line="276" w:lineRule="auto"/>
        <w:jc w:val="both"/>
        <w:rPr>
          <w:rFonts w:ascii="Arial" w:eastAsia="Times New Roman" w:hAnsi="Arial" w:cs="Arial"/>
          <w:b/>
          <w:bCs/>
          <w:lang w:val="en-ZA" w:eastAsia="en-GB"/>
        </w:rPr>
      </w:pPr>
    </w:p>
    <w:p w14:paraId="30B970DB" w14:textId="77777777" w:rsidR="00823625" w:rsidRPr="00E74A33" w:rsidRDefault="00823625" w:rsidP="00E74A33">
      <w:pPr>
        <w:spacing w:line="276" w:lineRule="auto"/>
        <w:jc w:val="both"/>
        <w:rPr>
          <w:rFonts w:ascii="Arial" w:eastAsia="Times New Roman" w:hAnsi="Arial" w:cs="Arial"/>
          <w:b/>
          <w:bCs/>
          <w:lang w:val="en-ZA" w:eastAsia="en-GB"/>
        </w:rPr>
      </w:pPr>
      <w:r w:rsidRPr="00E74A33">
        <w:rPr>
          <w:rFonts w:ascii="Arial" w:eastAsia="Times New Roman" w:hAnsi="Arial" w:cs="Arial"/>
          <w:b/>
          <w:bCs/>
          <w:lang w:val="en-ZA" w:eastAsia="en-GB"/>
        </w:rPr>
        <w:t>Eastern Africa’s peace and security structures</w:t>
      </w:r>
    </w:p>
    <w:p w14:paraId="552B56C0" w14:textId="77777777" w:rsidR="00823625" w:rsidRPr="00E74A33" w:rsidRDefault="00823625" w:rsidP="00E74A33">
      <w:pPr>
        <w:spacing w:line="276" w:lineRule="auto"/>
        <w:jc w:val="both"/>
        <w:rPr>
          <w:rFonts w:ascii="Arial" w:eastAsia="Times New Roman" w:hAnsi="Arial" w:cs="Arial"/>
          <w:b/>
          <w:bCs/>
          <w:lang w:val="en-ZA" w:eastAsia="en-GB"/>
        </w:rPr>
      </w:pPr>
    </w:p>
    <w:p w14:paraId="7AABF1BE" w14:textId="77777777" w:rsidR="00823625" w:rsidRPr="00E74A33" w:rsidRDefault="00823625" w:rsidP="00E74A33">
      <w:pPr>
        <w:pStyle w:val="ListParagraph"/>
        <w:numPr>
          <w:ilvl w:val="0"/>
          <w:numId w:val="2"/>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 xml:space="preserve">Eastern Africa is home to two key regional economic communities (RECs). </w:t>
      </w:r>
    </w:p>
    <w:p w14:paraId="3165F8BD" w14:textId="77777777" w:rsidR="00823625" w:rsidRPr="00E74A33" w:rsidRDefault="00823625" w:rsidP="00E74A33">
      <w:pPr>
        <w:pStyle w:val="ListParagraph"/>
        <w:spacing w:line="276" w:lineRule="auto"/>
        <w:jc w:val="both"/>
        <w:rPr>
          <w:rFonts w:ascii="Arial" w:eastAsia="Times New Roman" w:hAnsi="Arial" w:cs="Arial"/>
          <w:lang w:val="en-ZA" w:eastAsia="en-GB"/>
        </w:rPr>
      </w:pPr>
    </w:p>
    <w:p w14:paraId="30044819" w14:textId="77777777" w:rsidR="00823625" w:rsidRPr="00E74A33" w:rsidRDefault="00823625" w:rsidP="00E74A33">
      <w:pPr>
        <w:pStyle w:val="ListParagraph"/>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-The Inter-Governmental Authority on Development (IGAD)</w:t>
      </w:r>
    </w:p>
    <w:p w14:paraId="2F4EADF7" w14:textId="77777777" w:rsidR="00823625" w:rsidRPr="00E74A33" w:rsidRDefault="00823625" w:rsidP="00E74A33">
      <w:pPr>
        <w:pStyle w:val="ListParagraph"/>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w:t>
      </w:r>
      <w:r w:rsidRPr="00E74A33">
        <w:rPr>
          <w:rFonts w:ascii="Arial" w:hAnsi="Arial" w:cs="Arial"/>
        </w:rPr>
        <w:t xml:space="preserve"> </w:t>
      </w:r>
      <w:r w:rsidRPr="00E74A33">
        <w:rPr>
          <w:rFonts w:ascii="Arial" w:eastAsia="Times New Roman" w:hAnsi="Arial" w:cs="Arial"/>
          <w:lang w:val="en-ZA" w:eastAsia="en-GB"/>
        </w:rPr>
        <w:t>The Eastern African Community (EAC) Eastern</w:t>
      </w:r>
    </w:p>
    <w:p w14:paraId="7874B01F" w14:textId="77777777" w:rsidR="00823625" w:rsidRPr="00E74A33" w:rsidRDefault="00823625" w:rsidP="00E74A33">
      <w:pPr>
        <w:pStyle w:val="ListParagraph"/>
        <w:spacing w:line="276" w:lineRule="auto"/>
        <w:jc w:val="both"/>
        <w:rPr>
          <w:rFonts w:ascii="Arial" w:eastAsia="Times New Roman" w:hAnsi="Arial" w:cs="Arial"/>
          <w:lang w:val="en-ZA" w:eastAsia="en-GB"/>
        </w:rPr>
      </w:pPr>
    </w:p>
    <w:p w14:paraId="2F959BD6" w14:textId="77777777" w:rsidR="00823625" w:rsidRPr="00E74A33" w:rsidRDefault="00823625" w:rsidP="00E74A33">
      <w:pPr>
        <w:pStyle w:val="ListParagraph"/>
        <w:numPr>
          <w:ilvl w:val="0"/>
          <w:numId w:val="2"/>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African Standby Force Secretariat (EASFSEC)</w:t>
      </w:r>
    </w:p>
    <w:p w14:paraId="132A178A" w14:textId="50D5B351" w:rsidR="00B444C8" w:rsidRPr="00E74A33" w:rsidRDefault="00B444C8" w:rsidP="00E74A33">
      <w:pPr>
        <w:spacing w:line="276" w:lineRule="auto"/>
        <w:jc w:val="both"/>
        <w:rPr>
          <w:rFonts w:ascii="Arial" w:hAnsi="Arial" w:cs="Arial"/>
        </w:rPr>
      </w:pPr>
    </w:p>
    <w:p w14:paraId="314D0E62" w14:textId="259E9D01" w:rsidR="00B444C8" w:rsidRPr="00E74A33" w:rsidRDefault="00B444C8" w:rsidP="00E74A33">
      <w:pPr>
        <w:spacing w:line="276" w:lineRule="auto"/>
        <w:jc w:val="both"/>
        <w:rPr>
          <w:rFonts w:ascii="Arial" w:hAnsi="Arial" w:cs="Arial"/>
          <w:b/>
          <w:bCs/>
        </w:rPr>
      </w:pPr>
      <w:r w:rsidRPr="00E74A33">
        <w:rPr>
          <w:rFonts w:ascii="Arial" w:hAnsi="Arial" w:cs="Arial"/>
          <w:b/>
          <w:bCs/>
        </w:rPr>
        <w:lastRenderedPageBreak/>
        <w:t>Youth in East Africa</w:t>
      </w:r>
    </w:p>
    <w:p w14:paraId="08E7924D" w14:textId="77777777" w:rsidR="00E74A33" w:rsidRDefault="00D23EF5" w:rsidP="00E74A33">
      <w:pPr>
        <w:pStyle w:val="ListParagraph"/>
        <w:numPr>
          <w:ilvl w:val="0"/>
          <w:numId w:val="5"/>
        </w:numPr>
        <w:spacing w:line="276" w:lineRule="auto"/>
        <w:jc w:val="both"/>
        <w:rPr>
          <w:rFonts w:ascii="Arial" w:hAnsi="Arial" w:cs="Arial"/>
        </w:rPr>
      </w:pPr>
      <w:r w:rsidRPr="00E74A33">
        <w:rPr>
          <w:rFonts w:ascii="Arial" w:hAnsi="Arial" w:cs="Arial"/>
        </w:rPr>
        <w:t>East Africa has one of the youngest populations in the world</w:t>
      </w:r>
      <w:r w:rsidR="00E74A33">
        <w:rPr>
          <w:rFonts w:ascii="Arial" w:hAnsi="Arial" w:cs="Arial"/>
        </w:rPr>
        <w:t xml:space="preserve">. </w:t>
      </w:r>
      <w:r w:rsidR="00B94930" w:rsidRPr="00E74A33">
        <w:rPr>
          <w:rFonts w:ascii="Arial" w:hAnsi="Arial" w:cs="Arial"/>
        </w:rPr>
        <w:t>With such a large population of young people, supportive policies and programs on inclusive youth development are critical now more than ever</w:t>
      </w:r>
      <w:r w:rsidR="00E74A33">
        <w:rPr>
          <w:rFonts w:ascii="Arial" w:hAnsi="Arial" w:cs="Arial"/>
        </w:rPr>
        <w:t>.</w:t>
      </w:r>
    </w:p>
    <w:p w14:paraId="3D194CF0" w14:textId="77777777" w:rsidR="00E74A33" w:rsidRPr="00E74A33" w:rsidRDefault="00B444C8" w:rsidP="00E74A33">
      <w:pPr>
        <w:pStyle w:val="ListParagraph"/>
        <w:numPr>
          <w:ilvl w:val="0"/>
          <w:numId w:val="5"/>
        </w:numPr>
        <w:spacing w:line="276" w:lineRule="auto"/>
        <w:jc w:val="both"/>
        <w:rPr>
          <w:rFonts w:ascii="Arial" w:hAnsi="Arial" w:cs="Arial"/>
        </w:rPr>
      </w:pPr>
      <w:proofErr w:type="gramStart"/>
      <w:r w:rsidRPr="00E74A33">
        <w:rPr>
          <w:rFonts w:ascii="Arial" w:eastAsia="Times New Roman" w:hAnsi="Arial" w:cs="Arial"/>
          <w:lang w:val="en-ZA" w:eastAsia="en-GB"/>
        </w:rPr>
        <w:t>A majority of</w:t>
      </w:r>
      <w:proofErr w:type="gramEnd"/>
      <w:r w:rsidRPr="00E74A33">
        <w:rPr>
          <w:rFonts w:ascii="Arial" w:eastAsia="Times New Roman" w:hAnsi="Arial" w:cs="Arial"/>
          <w:lang w:val="en-ZA" w:eastAsia="en-GB"/>
        </w:rPr>
        <w:t xml:space="preserve"> the youth-led organisations operate with limited funding, with 49% operating under USD 5,000 per annum and only 11% over USD 100,000</w:t>
      </w:r>
    </w:p>
    <w:p w14:paraId="62B42189" w14:textId="59E18E34" w:rsidR="00B444C8" w:rsidRPr="00E74A33" w:rsidRDefault="00B444C8" w:rsidP="00E74A33">
      <w:pPr>
        <w:pStyle w:val="ListParagraph"/>
        <w:numPr>
          <w:ilvl w:val="0"/>
          <w:numId w:val="5"/>
        </w:numPr>
        <w:spacing w:line="276" w:lineRule="auto"/>
        <w:jc w:val="both"/>
        <w:rPr>
          <w:rFonts w:ascii="Arial" w:hAnsi="Arial" w:cs="Arial"/>
        </w:rPr>
      </w:pPr>
      <w:r w:rsidRPr="00E74A33">
        <w:rPr>
          <w:rFonts w:ascii="Arial" w:eastAsia="Times New Roman" w:hAnsi="Arial" w:cs="Arial"/>
          <w:lang w:val="en-ZA" w:eastAsia="en-GB"/>
        </w:rPr>
        <w:t>Youth believe their main strength and motivation is in working with peers for a common vision of preventing violence and promoting peace in communities</w:t>
      </w:r>
      <w:r w:rsidR="00D23EF5" w:rsidRPr="00E74A33">
        <w:rPr>
          <w:rFonts w:ascii="Arial" w:eastAsia="Times New Roman" w:hAnsi="Arial" w:cs="Arial"/>
          <w:lang w:val="en-ZA" w:eastAsia="en-GB"/>
        </w:rPr>
        <w:t xml:space="preserve">. </w:t>
      </w:r>
      <w:r w:rsidRPr="00E74A33">
        <w:rPr>
          <w:rFonts w:ascii="Arial" w:eastAsia="Times New Roman" w:hAnsi="Arial" w:cs="Arial"/>
          <w:lang w:val="en-ZA" w:eastAsia="en-GB"/>
        </w:rPr>
        <w:t xml:space="preserve">This </w:t>
      </w:r>
      <w:proofErr w:type="gramStart"/>
      <w:r w:rsidRPr="00E74A33">
        <w:rPr>
          <w:rFonts w:ascii="Arial" w:eastAsia="Times New Roman" w:hAnsi="Arial" w:cs="Arial"/>
          <w:lang w:val="en-ZA" w:eastAsia="en-GB"/>
        </w:rPr>
        <w:t>peer to peer</w:t>
      </w:r>
      <w:proofErr w:type="gramEnd"/>
      <w:r w:rsidRPr="00E74A33">
        <w:rPr>
          <w:rFonts w:ascii="Arial" w:eastAsia="Times New Roman" w:hAnsi="Arial" w:cs="Arial"/>
          <w:lang w:val="en-ZA" w:eastAsia="en-GB"/>
        </w:rPr>
        <w:t xml:space="preserve"> trust is confirmed by a recent study, which reports that 60% of</w:t>
      </w:r>
      <w:r w:rsidR="00D23EF5" w:rsidRPr="00E74A33">
        <w:rPr>
          <w:rFonts w:ascii="Arial" w:eastAsia="Times New Roman" w:hAnsi="Arial" w:cs="Arial"/>
          <w:lang w:val="en-ZA" w:eastAsia="en-GB"/>
        </w:rPr>
        <w:t xml:space="preserve"> young people</w:t>
      </w:r>
      <w:r w:rsidRPr="00E74A33">
        <w:rPr>
          <w:rFonts w:ascii="Arial" w:eastAsia="Times New Roman" w:hAnsi="Arial" w:cs="Arial"/>
          <w:lang w:val="en-ZA" w:eastAsia="en-GB"/>
        </w:rPr>
        <w:t xml:space="preserve"> see peers as highly credible</w:t>
      </w:r>
      <w:r w:rsidR="00D23EF5" w:rsidRPr="00E74A33">
        <w:rPr>
          <w:rFonts w:ascii="Arial" w:eastAsia="Times New Roman" w:hAnsi="Arial" w:cs="Arial"/>
          <w:lang w:val="en-ZA" w:eastAsia="en-GB"/>
        </w:rPr>
        <w:t>.</w:t>
      </w:r>
    </w:p>
    <w:p w14:paraId="43786634" w14:textId="0EA96A2F" w:rsidR="00050148" w:rsidRPr="00E74A33" w:rsidRDefault="00D23EF5" w:rsidP="00E74A33">
      <w:pPr>
        <w:pStyle w:val="ListParagraph"/>
        <w:numPr>
          <w:ilvl w:val="0"/>
          <w:numId w:val="5"/>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Y</w:t>
      </w:r>
      <w:r w:rsidR="00050148" w:rsidRPr="00E74A33">
        <w:rPr>
          <w:rFonts w:ascii="Arial" w:eastAsia="Times New Roman" w:hAnsi="Arial" w:cs="Arial"/>
          <w:lang w:val="en-ZA" w:eastAsia="en-GB"/>
        </w:rPr>
        <w:t xml:space="preserve">outh-led organisations are applying different skills to overcome funding challenges by finding alternative sources such as through their members, crowd funding, </w:t>
      </w:r>
      <w:proofErr w:type="gramStart"/>
      <w:r w:rsidR="00050148" w:rsidRPr="00E74A33">
        <w:rPr>
          <w:rFonts w:ascii="Arial" w:eastAsia="Times New Roman" w:hAnsi="Arial" w:cs="Arial"/>
          <w:lang w:val="en-ZA" w:eastAsia="en-GB"/>
        </w:rPr>
        <w:t>donations</w:t>
      </w:r>
      <w:proofErr w:type="gramEnd"/>
      <w:r w:rsidR="00050148" w:rsidRPr="00E74A33">
        <w:rPr>
          <w:rFonts w:ascii="Arial" w:eastAsia="Times New Roman" w:hAnsi="Arial" w:cs="Arial"/>
          <w:lang w:val="en-ZA" w:eastAsia="en-GB"/>
        </w:rPr>
        <w:t xml:space="preserve"> and in-kind support. Some push for visibility by participating in and actively joining local, </w:t>
      </w:r>
      <w:proofErr w:type="gramStart"/>
      <w:r w:rsidR="00050148" w:rsidRPr="00E74A33">
        <w:rPr>
          <w:rFonts w:ascii="Arial" w:eastAsia="Times New Roman" w:hAnsi="Arial" w:cs="Arial"/>
          <w:lang w:val="en-ZA" w:eastAsia="en-GB"/>
        </w:rPr>
        <w:t>national</w:t>
      </w:r>
      <w:proofErr w:type="gramEnd"/>
      <w:r w:rsidR="00050148" w:rsidRPr="00E74A33">
        <w:rPr>
          <w:rFonts w:ascii="Arial" w:eastAsia="Times New Roman" w:hAnsi="Arial" w:cs="Arial"/>
          <w:lang w:val="en-ZA" w:eastAsia="en-GB"/>
        </w:rPr>
        <w:t xml:space="preserve"> and international networks and social media. Others solicit funding through traditional sources such as through institutional donor proposals, partnership with CSOs, media houses (radios, TV), and others.</w:t>
      </w:r>
    </w:p>
    <w:p w14:paraId="7D56599B" w14:textId="7F2FFF7B" w:rsidR="00D23EF5" w:rsidRPr="00E74A33" w:rsidRDefault="00D23EF5" w:rsidP="00E74A33">
      <w:pPr>
        <w:pStyle w:val="ListParagraph"/>
        <w:numPr>
          <w:ilvl w:val="0"/>
          <w:numId w:val="5"/>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A recent study showed that youth-led organisations p</w:t>
      </w:r>
      <w:r w:rsidR="00137B68" w:rsidRPr="00E74A33">
        <w:rPr>
          <w:rFonts w:ascii="Arial" w:eastAsia="Times New Roman" w:hAnsi="Arial" w:cs="Arial"/>
          <w:lang w:val="en-ZA" w:eastAsia="en-GB"/>
        </w:rPr>
        <w:t>artnering with civil society members helps pool limited resources.</w:t>
      </w:r>
    </w:p>
    <w:p w14:paraId="74825C60" w14:textId="6F69133B" w:rsidR="00EC44C3" w:rsidRPr="00E74A33" w:rsidRDefault="00EC44C3" w:rsidP="00E74A33">
      <w:pPr>
        <w:pStyle w:val="ListParagraph"/>
        <w:numPr>
          <w:ilvl w:val="0"/>
          <w:numId w:val="5"/>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It is primarily Governments and political leaders who seek to mobilize, and often to manipulate, the role and function of youth for political ends. Research findings indicate that such stereotypes are also widely sustained and reinforced by the media</w:t>
      </w:r>
      <w:r w:rsidR="00D23EF5" w:rsidRPr="00E74A33">
        <w:rPr>
          <w:rFonts w:ascii="Arial" w:eastAsia="Times New Roman" w:hAnsi="Arial" w:cs="Arial"/>
          <w:lang w:val="en-ZA" w:eastAsia="en-GB"/>
        </w:rPr>
        <w:t>.</w:t>
      </w:r>
    </w:p>
    <w:p w14:paraId="476D60AA" w14:textId="77777777" w:rsidR="00E74A33" w:rsidRDefault="00EC44C3" w:rsidP="00E74A33">
      <w:pPr>
        <w:pStyle w:val="ListParagraph"/>
        <w:numPr>
          <w:ilvl w:val="0"/>
          <w:numId w:val="5"/>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 xml:space="preserve">Partnerships </w:t>
      </w:r>
      <w:r w:rsidR="00D23EF5" w:rsidRPr="00E74A33">
        <w:rPr>
          <w:rFonts w:ascii="Arial" w:eastAsia="Times New Roman" w:hAnsi="Arial" w:cs="Arial"/>
          <w:lang w:val="en-ZA" w:eastAsia="en-GB"/>
        </w:rPr>
        <w:t>are</w:t>
      </w:r>
      <w:r w:rsidRPr="00E74A33">
        <w:rPr>
          <w:rFonts w:ascii="Arial" w:eastAsia="Times New Roman" w:hAnsi="Arial" w:cs="Arial"/>
          <w:lang w:val="en-ZA" w:eastAsia="en-GB"/>
        </w:rPr>
        <w:t xml:space="preserve"> consistently highlighted by young people and their organi</w:t>
      </w:r>
      <w:r w:rsidR="00D23EF5" w:rsidRPr="00E74A33">
        <w:rPr>
          <w:rFonts w:ascii="Arial" w:eastAsia="Times New Roman" w:hAnsi="Arial" w:cs="Arial"/>
          <w:lang w:val="en-ZA" w:eastAsia="en-GB"/>
        </w:rPr>
        <w:t>s</w:t>
      </w:r>
      <w:r w:rsidRPr="00E74A33">
        <w:rPr>
          <w:rFonts w:ascii="Arial" w:eastAsia="Times New Roman" w:hAnsi="Arial" w:cs="Arial"/>
          <w:lang w:val="en-ZA" w:eastAsia="en-GB"/>
        </w:rPr>
        <w:t>ations as a key priority and means for expanding their impact</w:t>
      </w:r>
      <w:r w:rsidR="00D23EF5" w:rsidRPr="00E74A33">
        <w:rPr>
          <w:rFonts w:ascii="Arial" w:eastAsia="Times New Roman" w:hAnsi="Arial" w:cs="Arial"/>
          <w:lang w:val="en-ZA" w:eastAsia="en-GB"/>
        </w:rPr>
        <w:t xml:space="preserve"> in peacebuilding.</w:t>
      </w:r>
    </w:p>
    <w:p w14:paraId="368109BC" w14:textId="7B45FFA5" w:rsidR="00D23EF5" w:rsidRPr="00E74A33" w:rsidRDefault="00B94930" w:rsidP="00E74A33">
      <w:pPr>
        <w:pStyle w:val="ListParagraph"/>
        <w:numPr>
          <w:ilvl w:val="0"/>
          <w:numId w:val="5"/>
        </w:num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The climate of mistrust is deeply entrenched in the region, and even if moving towards the same agenda, this mistrust has also been present between young people and the government.</w:t>
      </w:r>
    </w:p>
    <w:p w14:paraId="5A4154EF" w14:textId="695D2C80" w:rsidR="00EC44C3" w:rsidRPr="00E74A33" w:rsidRDefault="00EC44C3" w:rsidP="00E74A33">
      <w:pPr>
        <w:spacing w:line="276" w:lineRule="auto"/>
        <w:jc w:val="both"/>
        <w:rPr>
          <w:rFonts w:ascii="Arial" w:eastAsia="Times New Roman" w:hAnsi="Arial" w:cs="Arial"/>
          <w:lang w:val="en-ZA" w:eastAsia="en-GB"/>
        </w:rPr>
      </w:pPr>
      <w:r w:rsidRPr="00E74A33">
        <w:rPr>
          <w:rFonts w:ascii="Arial" w:eastAsia="Times New Roman" w:hAnsi="Arial" w:cs="Arial"/>
          <w:lang w:val="en-ZA" w:eastAsia="en-GB"/>
        </w:rPr>
        <w:t xml:space="preserve"> </w:t>
      </w:r>
    </w:p>
    <w:p w14:paraId="43EC875D" w14:textId="77777777" w:rsidR="006051C7" w:rsidRPr="00E74A33" w:rsidRDefault="006051C7" w:rsidP="00E74A33">
      <w:pPr>
        <w:spacing w:line="276" w:lineRule="auto"/>
        <w:jc w:val="both"/>
        <w:rPr>
          <w:rFonts w:ascii="Arial" w:eastAsia="Times New Roman" w:hAnsi="Arial" w:cs="Arial"/>
          <w:lang w:val="en-ZA" w:eastAsia="en-GB"/>
        </w:rPr>
      </w:pPr>
    </w:p>
    <w:p w14:paraId="0F377F5C" w14:textId="6CBD2301" w:rsidR="00B444C8" w:rsidRPr="00E74A33" w:rsidRDefault="00B444C8" w:rsidP="00E74A33">
      <w:pPr>
        <w:spacing w:line="276" w:lineRule="auto"/>
        <w:jc w:val="both"/>
        <w:rPr>
          <w:rFonts w:ascii="Arial" w:eastAsia="Times New Roman" w:hAnsi="Arial" w:cs="Arial"/>
          <w:lang w:val="en-ZA" w:eastAsia="en-GB"/>
        </w:rPr>
      </w:pPr>
    </w:p>
    <w:p w14:paraId="0AD92DB3" w14:textId="77777777" w:rsidR="00B444C8" w:rsidRPr="00E74A33" w:rsidRDefault="00B444C8" w:rsidP="00E74A33">
      <w:pPr>
        <w:spacing w:line="276" w:lineRule="auto"/>
        <w:jc w:val="both"/>
        <w:rPr>
          <w:rFonts w:ascii="Arial" w:hAnsi="Arial" w:cs="Arial"/>
        </w:rPr>
      </w:pPr>
    </w:p>
    <w:p w14:paraId="738C7F6F" w14:textId="77777777" w:rsidR="00B444C8" w:rsidRPr="00E74A33" w:rsidRDefault="00B444C8" w:rsidP="00E74A33">
      <w:pPr>
        <w:spacing w:line="276" w:lineRule="auto"/>
        <w:jc w:val="both"/>
        <w:rPr>
          <w:rFonts w:ascii="Arial" w:hAnsi="Arial" w:cs="Arial"/>
        </w:rPr>
      </w:pPr>
    </w:p>
    <w:sectPr w:rsidR="00B444C8" w:rsidRPr="00E74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1478"/>
    <w:multiLevelType w:val="hybridMultilevel"/>
    <w:tmpl w:val="6FF2FB62"/>
    <w:lvl w:ilvl="0" w:tplc="20000001">
      <w:start w:val="1"/>
      <w:numFmt w:val="bullet"/>
      <w:lvlText w:val=""/>
      <w:lvlJc w:val="left"/>
      <w:pPr>
        <w:ind w:left="790" w:hanging="360"/>
      </w:pPr>
      <w:rPr>
        <w:rFonts w:ascii="Symbol" w:hAnsi="Symbol" w:hint="default"/>
      </w:rPr>
    </w:lvl>
    <w:lvl w:ilvl="1" w:tplc="10000003" w:tentative="1">
      <w:start w:val="1"/>
      <w:numFmt w:val="bullet"/>
      <w:lvlText w:val="o"/>
      <w:lvlJc w:val="left"/>
      <w:pPr>
        <w:ind w:left="1510" w:hanging="360"/>
      </w:pPr>
      <w:rPr>
        <w:rFonts w:ascii="Courier New" w:hAnsi="Courier New" w:cs="Courier New" w:hint="default"/>
      </w:rPr>
    </w:lvl>
    <w:lvl w:ilvl="2" w:tplc="10000005" w:tentative="1">
      <w:start w:val="1"/>
      <w:numFmt w:val="bullet"/>
      <w:lvlText w:val=""/>
      <w:lvlJc w:val="left"/>
      <w:pPr>
        <w:ind w:left="2230" w:hanging="360"/>
      </w:pPr>
      <w:rPr>
        <w:rFonts w:ascii="Wingdings" w:hAnsi="Wingdings" w:hint="default"/>
      </w:rPr>
    </w:lvl>
    <w:lvl w:ilvl="3" w:tplc="10000001" w:tentative="1">
      <w:start w:val="1"/>
      <w:numFmt w:val="bullet"/>
      <w:lvlText w:val=""/>
      <w:lvlJc w:val="left"/>
      <w:pPr>
        <w:ind w:left="2950" w:hanging="360"/>
      </w:pPr>
      <w:rPr>
        <w:rFonts w:ascii="Symbol" w:hAnsi="Symbol" w:hint="default"/>
      </w:rPr>
    </w:lvl>
    <w:lvl w:ilvl="4" w:tplc="10000003" w:tentative="1">
      <w:start w:val="1"/>
      <w:numFmt w:val="bullet"/>
      <w:lvlText w:val="o"/>
      <w:lvlJc w:val="left"/>
      <w:pPr>
        <w:ind w:left="3670" w:hanging="360"/>
      </w:pPr>
      <w:rPr>
        <w:rFonts w:ascii="Courier New" w:hAnsi="Courier New" w:cs="Courier New" w:hint="default"/>
      </w:rPr>
    </w:lvl>
    <w:lvl w:ilvl="5" w:tplc="10000005" w:tentative="1">
      <w:start w:val="1"/>
      <w:numFmt w:val="bullet"/>
      <w:lvlText w:val=""/>
      <w:lvlJc w:val="left"/>
      <w:pPr>
        <w:ind w:left="4390" w:hanging="360"/>
      </w:pPr>
      <w:rPr>
        <w:rFonts w:ascii="Wingdings" w:hAnsi="Wingdings" w:hint="default"/>
      </w:rPr>
    </w:lvl>
    <w:lvl w:ilvl="6" w:tplc="10000001" w:tentative="1">
      <w:start w:val="1"/>
      <w:numFmt w:val="bullet"/>
      <w:lvlText w:val=""/>
      <w:lvlJc w:val="left"/>
      <w:pPr>
        <w:ind w:left="5110" w:hanging="360"/>
      </w:pPr>
      <w:rPr>
        <w:rFonts w:ascii="Symbol" w:hAnsi="Symbol" w:hint="default"/>
      </w:rPr>
    </w:lvl>
    <w:lvl w:ilvl="7" w:tplc="10000003" w:tentative="1">
      <w:start w:val="1"/>
      <w:numFmt w:val="bullet"/>
      <w:lvlText w:val="o"/>
      <w:lvlJc w:val="left"/>
      <w:pPr>
        <w:ind w:left="5830" w:hanging="360"/>
      </w:pPr>
      <w:rPr>
        <w:rFonts w:ascii="Courier New" w:hAnsi="Courier New" w:cs="Courier New" w:hint="default"/>
      </w:rPr>
    </w:lvl>
    <w:lvl w:ilvl="8" w:tplc="10000005" w:tentative="1">
      <w:start w:val="1"/>
      <w:numFmt w:val="bullet"/>
      <w:lvlText w:val=""/>
      <w:lvlJc w:val="left"/>
      <w:pPr>
        <w:ind w:left="6550" w:hanging="360"/>
      </w:pPr>
      <w:rPr>
        <w:rFonts w:ascii="Wingdings" w:hAnsi="Wingdings" w:hint="default"/>
      </w:rPr>
    </w:lvl>
  </w:abstractNum>
  <w:abstractNum w:abstractNumId="1" w15:restartNumberingAfterBreak="0">
    <w:nsid w:val="481E5FE3"/>
    <w:multiLevelType w:val="hybridMultilevel"/>
    <w:tmpl w:val="E9F8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153EF"/>
    <w:multiLevelType w:val="hybridMultilevel"/>
    <w:tmpl w:val="61E27708"/>
    <w:lvl w:ilvl="0" w:tplc="E91EA9B0">
      <w:start w:val="1"/>
      <w:numFmt w:val="bullet"/>
      <w:lvlText w:val="•"/>
      <w:lvlJc w:val="left"/>
      <w:pPr>
        <w:tabs>
          <w:tab w:val="num" w:pos="720"/>
        </w:tabs>
        <w:ind w:left="720" w:hanging="360"/>
      </w:pPr>
      <w:rPr>
        <w:rFonts w:ascii="Arial" w:hAnsi="Arial" w:hint="default"/>
      </w:rPr>
    </w:lvl>
    <w:lvl w:ilvl="1" w:tplc="713A31B6" w:tentative="1">
      <w:start w:val="1"/>
      <w:numFmt w:val="bullet"/>
      <w:lvlText w:val="•"/>
      <w:lvlJc w:val="left"/>
      <w:pPr>
        <w:tabs>
          <w:tab w:val="num" w:pos="1440"/>
        </w:tabs>
        <w:ind w:left="1440" w:hanging="360"/>
      </w:pPr>
      <w:rPr>
        <w:rFonts w:ascii="Arial" w:hAnsi="Arial" w:hint="default"/>
      </w:rPr>
    </w:lvl>
    <w:lvl w:ilvl="2" w:tplc="8C10A390" w:tentative="1">
      <w:start w:val="1"/>
      <w:numFmt w:val="bullet"/>
      <w:lvlText w:val="•"/>
      <w:lvlJc w:val="left"/>
      <w:pPr>
        <w:tabs>
          <w:tab w:val="num" w:pos="2160"/>
        </w:tabs>
        <w:ind w:left="2160" w:hanging="360"/>
      </w:pPr>
      <w:rPr>
        <w:rFonts w:ascii="Arial" w:hAnsi="Arial" w:hint="default"/>
      </w:rPr>
    </w:lvl>
    <w:lvl w:ilvl="3" w:tplc="62748BEC" w:tentative="1">
      <w:start w:val="1"/>
      <w:numFmt w:val="bullet"/>
      <w:lvlText w:val="•"/>
      <w:lvlJc w:val="left"/>
      <w:pPr>
        <w:tabs>
          <w:tab w:val="num" w:pos="2880"/>
        </w:tabs>
        <w:ind w:left="2880" w:hanging="360"/>
      </w:pPr>
      <w:rPr>
        <w:rFonts w:ascii="Arial" w:hAnsi="Arial" w:hint="default"/>
      </w:rPr>
    </w:lvl>
    <w:lvl w:ilvl="4" w:tplc="60226BBA" w:tentative="1">
      <w:start w:val="1"/>
      <w:numFmt w:val="bullet"/>
      <w:lvlText w:val="•"/>
      <w:lvlJc w:val="left"/>
      <w:pPr>
        <w:tabs>
          <w:tab w:val="num" w:pos="3600"/>
        </w:tabs>
        <w:ind w:left="3600" w:hanging="360"/>
      </w:pPr>
      <w:rPr>
        <w:rFonts w:ascii="Arial" w:hAnsi="Arial" w:hint="default"/>
      </w:rPr>
    </w:lvl>
    <w:lvl w:ilvl="5" w:tplc="4060F042" w:tentative="1">
      <w:start w:val="1"/>
      <w:numFmt w:val="bullet"/>
      <w:lvlText w:val="•"/>
      <w:lvlJc w:val="left"/>
      <w:pPr>
        <w:tabs>
          <w:tab w:val="num" w:pos="4320"/>
        </w:tabs>
        <w:ind w:left="4320" w:hanging="360"/>
      </w:pPr>
      <w:rPr>
        <w:rFonts w:ascii="Arial" w:hAnsi="Arial" w:hint="default"/>
      </w:rPr>
    </w:lvl>
    <w:lvl w:ilvl="6" w:tplc="CC101F4E" w:tentative="1">
      <w:start w:val="1"/>
      <w:numFmt w:val="bullet"/>
      <w:lvlText w:val="•"/>
      <w:lvlJc w:val="left"/>
      <w:pPr>
        <w:tabs>
          <w:tab w:val="num" w:pos="5040"/>
        </w:tabs>
        <w:ind w:left="5040" w:hanging="360"/>
      </w:pPr>
      <w:rPr>
        <w:rFonts w:ascii="Arial" w:hAnsi="Arial" w:hint="default"/>
      </w:rPr>
    </w:lvl>
    <w:lvl w:ilvl="7" w:tplc="4A366D5C" w:tentative="1">
      <w:start w:val="1"/>
      <w:numFmt w:val="bullet"/>
      <w:lvlText w:val="•"/>
      <w:lvlJc w:val="left"/>
      <w:pPr>
        <w:tabs>
          <w:tab w:val="num" w:pos="5760"/>
        </w:tabs>
        <w:ind w:left="5760" w:hanging="360"/>
      </w:pPr>
      <w:rPr>
        <w:rFonts w:ascii="Arial" w:hAnsi="Arial" w:hint="default"/>
      </w:rPr>
    </w:lvl>
    <w:lvl w:ilvl="8" w:tplc="E9224F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E414A0"/>
    <w:multiLevelType w:val="hybridMultilevel"/>
    <w:tmpl w:val="F0CEC69A"/>
    <w:lvl w:ilvl="0" w:tplc="BB900AC2">
      <w:start w:val="1"/>
      <w:numFmt w:val="bullet"/>
      <w:lvlText w:val="•"/>
      <w:lvlJc w:val="left"/>
      <w:pPr>
        <w:tabs>
          <w:tab w:val="num" w:pos="720"/>
        </w:tabs>
        <w:ind w:left="720" w:hanging="360"/>
      </w:pPr>
      <w:rPr>
        <w:rFonts w:ascii="Arial" w:hAnsi="Arial" w:hint="default"/>
      </w:rPr>
    </w:lvl>
    <w:lvl w:ilvl="1" w:tplc="1ABE3B4C" w:tentative="1">
      <w:start w:val="1"/>
      <w:numFmt w:val="bullet"/>
      <w:lvlText w:val="•"/>
      <w:lvlJc w:val="left"/>
      <w:pPr>
        <w:tabs>
          <w:tab w:val="num" w:pos="1440"/>
        </w:tabs>
        <w:ind w:left="1440" w:hanging="360"/>
      </w:pPr>
      <w:rPr>
        <w:rFonts w:ascii="Arial" w:hAnsi="Arial" w:hint="default"/>
      </w:rPr>
    </w:lvl>
    <w:lvl w:ilvl="2" w:tplc="1CE275E2" w:tentative="1">
      <w:start w:val="1"/>
      <w:numFmt w:val="bullet"/>
      <w:lvlText w:val="•"/>
      <w:lvlJc w:val="left"/>
      <w:pPr>
        <w:tabs>
          <w:tab w:val="num" w:pos="2160"/>
        </w:tabs>
        <w:ind w:left="2160" w:hanging="360"/>
      </w:pPr>
      <w:rPr>
        <w:rFonts w:ascii="Arial" w:hAnsi="Arial" w:hint="default"/>
      </w:rPr>
    </w:lvl>
    <w:lvl w:ilvl="3" w:tplc="C5F03752" w:tentative="1">
      <w:start w:val="1"/>
      <w:numFmt w:val="bullet"/>
      <w:lvlText w:val="•"/>
      <w:lvlJc w:val="left"/>
      <w:pPr>
        <w:tabs>
          <w:tab w:val="num" w:pos="2880"/>
        </w:tabs>
        <w:ind w:left="2880" w:hanging="360"/>
      </w:pPr>
      <w:rPr>
        <w:rFonts w:ascii="Arial" w:hAnsi="Arial" w:hint="default"/>
      </w:rPr>
    </w:lvl>
    <w:lvl w:ilvl="4" w:tplc="AB52142E" w:tentative="1">
      <w:start w:val="1"/>
      <w:numFmt w:val="bullet"/>
      <w:lvlText w:val="•"/>
      <w:lvlJc w:val="left"/>
      <w:pPr>
        <w:tabs>
          <w:tab w:val="num" w:pos="3600"/>
        </w:tabs>
        <w:ind w:left="3600" w:hanging="360"/>
      </w:pPr>
      <w:rPr>
        <w:rFonts w:ascii="Arial" w:hAnsi="Arial" w:hint="default"/>
      </w:rPr>
    </w:lvl>
    <w:lvl w:ilvl="5" w:tplc="9A9A7782" w:tentative="1">
      <w:start w:val="1"/>
      <w:numFmt w:val="bullet"/>
      <w:lvlText w:val="•"/>
      <w:lvlJc w:val="left"/>
      <w:pPr>
        <w:tabs>
          <w:tab w:val="num" w:pos="4320"/>
        </w:tabs>
        <w:ind w:left="4320" w:hanging="360"/>
      </w:pPr>
      <w:rPr>
        <w:rFonts w:ascii="Arial" w:hAnsi="Arial" w:hint="default"/>
      </w:rPr>
    </w:lvl>
    <w:lvl w:ilvl="6" w:tplc="4AECA0C2" w:tentative="1">
      <w:start w:val="1"/>
      <w:numFmt w:val="bullet"/>
      <w:lvlText w:val="•"/>
      <w:lvlJc w:val="left"/>
      <w:pPr>
        <w:tabs>
          <w:tab w:val="num" w:pos="5040"/>
        </w:tabs>
        <w:ind w:left="5040" w:hanging="360"/>
      </w:pPr>
      <w:rPr>
        <w:rFonts w:ascii="Arial" w:hAnsi="Arial" w:hint="default"/>
      </w:rPr>
    </w:lvl>
    <w:lvl w:ilvl="7" w:tplc="B8D0B1B0" w:tentative="1">
      <w:start w:val="1"/>
      <w:numFmt w:val="bullet"/>
      <w:lvlText w:val="•"/>
      <w:lvlJc w:val="left"/>
      <w:pPr>
        <w:tabs>
          <w:tab w:val="num" w:pos="5760"/>
        </w:tabs>
        <w:ind w:left="5760" w:hanging="360"/>
      </w:pPr>
      <w:rPr>
        <w:rFonts w:ascii="Arial" w:hAnsi="Arial" w:hint="default"/>
      </w:rPr>
    </w:lvl>
    <w:lvl w:ilvl="8" w:tplc="51940D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9B0020"/>
    <w:multiLevelType w:val="hybridMultilevel"/>
    <w:tmpl w:val="76B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288805">
    <w:abstractNumId w:val="1"/>
  </w:num>
  <w:num w:numId="2" w16cid:durableId="889003199">
    <w:abstractNumId w:val="4"/>
  </w:num>
  <w:num w:numId="3" w16cid:durableId="2097940732">
    <w:abstractNumId w:val="2"/>
  </w:num>
  <w:num w:numId="4" w16cid:durableId="568540531">
    <w:abstractNumId w:val="3"/>
  </w:num>
  <w:num w:numId="5" w16cid:durableId="81791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C8"/>
    <w:rsid w:val="00050148"/>
    <w:rsid w:val="000C1D8C"/>
    <w:rsid w:val="000E398A"/>
    <w:rsid w:val="00137B68"/>
    <w:rsid w:val="0024285A"/>
    <w:rsid w:val="005B4CF9"/>
    <w:rsid w:val="005F4402"/>
    <w:rsid w:val="00600B18"/>
    <w:rsid w:val="00604B2F"/>
    <w:rsid w:val="006051C7"/>
    <w:rsid w:val="006E28DE"/>
    <w:rsid w:val="007C33CF"/>
    <w:rsid w:val="00823625"/>
    <w:rsid w:val="0089113E"/>
    <w:rsid w:val="009E33B5"/>
    <w:rsid w:val="00AE032A"/>
    <w:rsid w:val="00B444C8"/>
    <w:rsid w:val="00B94930"/>
    <w:rsid w:val="00BA0A22"/>
    <w:rsid w:val="00D23EF5"/>
    <w:rsid w:val="00E74A33"/>
    <w:rsid w:val="00EC44C3"/>
    <w:rsid w:val="00F473E4"/>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3665"/>
  <w15:docId w15:val="{FF5083D0-1004-4E49-9B50-B32A0E6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121">
      <w:bodyDiv w:val="1"/>
      <w:marLeft w:val="0"/>
      <w:marRight w:val="0"/>
      <w:marTop w:val="0"/>
      <w:marBottom w:val="0"/>
      <w:divBdr>
        <w:top w:val="none" w:sz="0" w:space="0" w:color="auto"/>
        <w:left w:val="none" w:sz="0" w:space="0" w:color="auto"/>
        <w:bottom w:val="none" w:sz="0" w:space="0" w:color="auto"/>
        <w:right w:val="none" w:sz="0" w:space="0" w:color="auto"/>
      </w:divBdr>
    </w:div>
    <w:div w:id="119689934">
      <w:bodyDiv w:val="1"/>
      <w:marLeft w:val="0"/>
      <w:marRight w:val="0"/>
      <w:marTop w:val="0"/>
      <w:marBottom w:val="0"/>
      <w:divBdr>
        <w:top w:val="none" w:sz="0" w:space="0" w:color="auto"/>
        <w:left w:val="none" w:sz="0" w:space="0" w:color="auto"/>
        <w:bottom w:val="none" w:sz="0" w:space="0" w:color="auto"/>
        <w:right w:val="none" w:sz="0" w:space="0" w:color="auto"/>
      </w:divBdr>
    </w:div>
    <w:div w:id="198277837">
      <w:bodyDiv w:val="1"/>
      <w:marLeft w:val="0"/>
      <w:marRight w:val="0"/>
      <w:marTop w:val="0"/>
      <w:marBottom w:val="0"/>
      <w:divBdr>
        <w:top w:val="none" w:sz="0" w:space="0" w:color="auto"/>
        <w:left w:val="none" w:sz="0" w:space="0" w:color="auto"/>
        <w:bottom w:val="none" w:sz="0" w:space="0" w:color="auto"/>
        <w:right w:val="none" w:sz="0" w:space="0" w:color="auto"/>
      </w:divBdr>
    </w:div>
    <w:div w:id="212423240">
      <w:bodyDiv w:val="1"/>
      <w:marLeft w:val="0"/>
      <w:marRight w:val="0"/>
      <w:marTop w:val="0"/>
      <w:marBottom w:val="0"/>
      <w:divBdr>
        <w:top w:val="none" w:sz="0" w:space="0" w:color="auto"/>
        <w:left w:val="none" w:sz="0" w:space="0" w:color="auto"/>
        <w:bottom w:val="none" w:sz="0" w:space="0" w:color="auto"/>
        <w:right w:val="none" w:sz="0" w:space="0" w:color="auto"/>
      </w:divBdr>
    </w:div>
    <w:div w:id="414010878">
      <w:bodyDiv w:val="1"/>
      <w:marLeft w:val="0"/>
      <w:marRight w:val="0"/>
      <w:marTop w:val="0"/>
      <w:marBottom w:val="0"/>
      <w:divBdr>
        <w:top w:val="none" w:sz="0" w:space="0" w:color="auto"/>
        <w:left w:val="none" w:sz="0" w:space="0" w:color="auto"/>
        <w:bottom w:val="none" w:sz="0" w:space="0" w:color="auto"/>
        <w:right w:val="none" w:sz="0" w:space="0" w:color="auto"/>
      </w:divBdr>
    </w:div>
    <w:div w:id="530999319">
      <w:bodyDiv w:val="1"/>
      <w:marLeft w:val="0"/>
      <w:marRight w:val="0"/>
      <w:marTop w:val="0"/>
      <w:marBottom w:val="0"/>
      <w:divBdr>
        <w:top w:val="none" w:sz="0" w:space="0" w:color="auto"/>
        <w:left w:val="none" w:sz="0" w:space="0" w:color="auto"/>
        <w:bottom w:val="none" w:sz="0" w:space="0" w:color="auto"/>
        <w:right w:val="none" w:sz="0" w:space="0" w:color="auto"/>
      </w:divBdr>
    </w:div>
    <w:div w:id="547305596">
      <w:bodyDiv w:val="1"/>
      <w:marLeft w:val="0"/>
      <w:marRight w:val="0"/>
      <w:marTop w:val="0"/>
      <w:marBottom w:val="0"/>
      <w:divBdr>
        <w:top w:val="none" w:sz="0" w:space="0" w:color="auto"/>
        <w:left w:val="none" w:sz="0" w:space="0" w:color="auto"/>
        <w:bottom w:val="none" w:sz="0" w:space="0" w:color="auto"/>
        <w:right w:val="none" w:sz="0" w:space="0" w:color="auto"/>
      </w:divBdr>
      <w:divsChild>
        <w:div w:id="1248464459">
          <w:marLeft w:val="547"/>
          <w:marRight w:val="0"/>
          <w:marTop w:val="154"/>
          <w:marBottom w:val="0"/>
          <w:divBdr>
            <w:top w:val="none" w:sz="0" w:space="0" w:color="auto"/>
            <w:left w:val="none" w:sz="0" w:space="0" w:color="auto"/>
            <w:bottom w:val="none" w:sz="0" w:space="0" w:color="auto"/>
            <w:right w:val="none" w:sz="0" w:space="0" w:color="auto"/>
          </w:divBdr>
        </w:div>
        <w:div w:id="1704747035">
          <w:marLeft w:val="547"/>
          <w:marRight w:val="0"/>
          <w:marTop w:val="154"/>
          <w:marBottom w:val="0"/>
          <w:divBdr>
            <w:top w:val="none" w:sz="0" w:space="0" w:color="auto"/>
            <w:left w:val="none" w:sz="0" w:space="0" w:color="auto"/>
            <w:bottom w:val="none" w:sz="0" w:space="0" w:color="auto"/>
            <w:right w:val="none" w:sz="0" w:space="0" w:color="auto"/>
          </w:divBdr>
        </w:div>
      </w:divsChild>
    </w:div>
    <w:div w:id="655958844">
      <w:bodyDiv w:val="1"/>
      <w:marLeft w:val="0"/>
      <w:marRight w:val="0"/>
      <w:marTop w:val="0"/>
      <w:marBottom w:val="0"/>
      <w:divBdr>
        <w:top w:val="none" w:sz="0" w:space="0" w:color="auto"/>
        <w:left w:val="none" w:sz="0" w:space="0" w:color="auto"/>
        <w:bottom w:val="none" w:sz="0" w:space="0" w:color="auto"/>
        <w:right w:val="none" w:sz="0" w:space="0" w:color="auto"/>
      </w:divBdr>
    </w:div>
    <w:div w:id="656882898">
      <w:bodyDiv w:val="1"/>
      <w:marLeft w:val="0"/>
      <w:marRight w:val="0"/>
      <w:marTop w:val="0"/>
      <w:marBottom w:val="0"/>
      <w:divBdr>
        <w:top w:val="none" w:sz="0" w:space="0" w:color="auto"/>
        <w:left w:val="none" w:sz="0" w:space="0" w:color="auto"/>
        <w:bottom w:val="none" w:sz="0" w:space="0" w:color="auto"/>
        <w:right w:val="none" w:sz="0" w:space="0" w:color="auto"/>
      </w:divBdr>
    </w:div>
    <w:div w:id="699164534">
      <w:bodyDiv w:val="1"/>
      <w:marLeft w:val="0"/>
      <w:marRight w:val="0"/>
      <w:marTop w:val="0"/>
      <w:marBottom w:val="0"/>
      <w:divBdr>
        <w:top w:val="none" w:sz="0" w:space="0" w:color="auto"/>
        <w:left w:val="none" w:sz="0" w:space="0" w:color="auto"/>
        <w:bottom w:val="none" w:sz="0" w:space="0" w:color="auto"/>
        <w:right w:val="none" w:sz="0" w:space="0" w:color="auto"/>
      </w:divBdr>
    </w:div>
    <w:div w:id="857548885">
      <w:bodyDiv w:val="1"/>
      <w:marLeft w:val="0"/>
      <w:marRight w:val="0"/>
      <w:marTop w:val="0"/>
      <w:marBottom w:val="0"/>
      <w:divBdr>
        <w:top w:val="none" w:sz="0" w:space="0" w:color="auto"/>
        <w:left w:val="none" w:sz="0" w:space="0" w:color="auto"/>
        <w:bottom w:val="none" w:sz="0" w:space="0" w:color="auto"/>
        <w:right w:val="none" w:sz="0" w:space="0" w:color="auto"/>
      </w:divBdr>
    </w:div>
    <w:div w:id="910846307">
      <w:bodyDiv w:val="1"/>
      <w:marLeft w:val="0"/>
      <w:marRight w:val="0"/>
      <w:marTop w:val="0"/>
      <w:marBottom w:val="0"/>
      <w:divBdr>
        <w:top w:val="none" w:sz="0" w:space="0" w:color="auto"/>
        <w:left w:val="none" w:sz="0" w:space="0" w:color="auto"/>
        <w:bottom w:val="none" w:sz="0" w:space="0" w:color="auto"/>
        <w:right w:val="none" w:sz="0" w:space="0" w:color="auto"/>
      </w:divBdr>
    </w:div>
    <w:div w:id="914634331">
      <w:bodyDiv w:val="1"/>
      <w:marLeft w:val="0"/>
      <w:marRight w:val="0"/>
      <w:marTop w:val="0"/>
      <w:marBottom w:val="0"/>
      <w:divBdr>
        <w:top w:val="none" w:sz="0" w:space="0" w:color="auto"/>
        <w:left w:val="none" w:sz="0" w:space="0" w:color="auto"/>
        <w:bottom w:val="none" w:sz="0" w:space="0" w:color="auto"/>
        <w:right w:val="none" w:sz="0" w:space="0" w:color="auto"/>
      </w:divBdr>
    </w:div>
    <w:div w:id="936213482">
      <w:bodyDiv w:val="1"/>
      <w:marLeft w:val="0"/>
      <w:marRight w:val="0"/>
      <w:marTop w:val="0"/>
      <w:marBottom w:val="0"/>
      <w:divBdr>
        <w:top w:val="none" w:sz="0" w:space="0" w:color="auto"/>
        <w:left w:val="none" w:sz="0" w:space="0" w:color="auto"/>
        <w:bottom w:val="none" w:sz="0" w:space="0" w:color="auto"/>
        <w:right w:val="none" w:sz="0" w:space="0" w:color="auto"/>
      </w:divBdr>
    </w:div>
    <w:div w:id="1108476208">
      <w:bodyDiv w:val="1"/>
      <w:marLeft w:val="0"/>
      <w:marRight w:val="0"/>
      <w:marTop w:val="0"/>
      <w:marBottom w:val="0"/>
      <w:divBdr>
        <w:top w:val="none" w:sz="0" w:space="0" w:color="auto"/>
        <w:left w:val="none" w:sz="0" w:space="0" w:color="auto"/>
        <w:bottom w:val="none" w:sz="0" w:space="0" w:color="auto"/>
        <w:right w:val="none" w:sz="0" w:space="0" w:color="auto"/>
      </w:divBdr>
    </w:div>
    <w:div w:id="1129082465">
      <w:bodyDiv w:val="1"/>
      <w:marLeft w:val="0"/>
      <w:marRight w:val="0"/>
      <w:marTop w:val="0"/>
      <w:marBottom w:val="0"/>
      <w:divBdr>
        <w:top w:val="none" w:sz="0" w:space="0" w:color="auto"/>
        <w:left w:val="none" w:sz="0" w:space="0" w:color="auto"/>
        <w:bottom w:val="none" w:sz="0" w:space="0" w:color="auto"/>
        <w:right w:val="none" w:sz="0" w:space="0" w:color="auto"/>
      </w:divBdr>
    </w:div>
    <w:div w:id="1273971188">
      <w:bodyDiv w:val="1"/>
      <w:marLeft w:val="0"/>
      <w:marRight w:val="0"/>
      <w:marTop w:val="0"/>
      <w:marBottom w:val="0"/>
      <w:divBdr>
        <w:top w:val="none" w:sz="0" w:space="0" w:color="auto"/>
        <w:left w:val="none" w:sz="0" w:space="0" w:color="auto"/>
        <w:bottom w:val="none" w:sz="0" w:space="0" w:color="auto"/>
        <w:right w:val="none" w:sz="0" w:space="0" w:color="auto"/>
      </w:divBdr>
    </w:div>
    <w:div w:id="1316882999">
      <w:bodyDiv w:val="1"/>
      <w:marLeft w:val="0"/>
      <w:marRight w:val="0"/>
      <w:marTop w:val="0"/>
      <w:marBottom w:val="0"/>
      <w:divBdr>
        <w:top w:val="none" w:sz="0" w:space="0" w:color="auto"/>
        <w:left w:val="none" w:sz="0" w:space="0" w:color="auto"/>
        <w:bottom w:val="none" w:sz="0" w:space="0" w:color="auto"/>
        <w:right w:val="none" w:sz="0" w:space="0" w:color="auto"/>
      </w:divBdr>
    </w:div>
    <w:div w:id="1521822487">
      <w:bodyDiv w:val="1"/>
      <w:marLeft w:val="0"/>
      <w:marRight w:val="0"/>
      <w:marTop w:val="0"/>
      <w:marBottom w:val="0"/>
      <w:divBdr>
        <w:top w:val="none" w:sz="0" w:space="0" w:color="auto"/>
        <w:left w:val="none" w:sz="0" w:space="0" w:color="auto"/>
        <w:bottom w:val="none" w:sz="0" w:space="0" w:color="auto"/>
        <w:right w:val="none" w:sz="0" w:space="0" w:color="auto"/>
      </w:divBdr>
    </w:div>
    <w:div w:id="1620139135">
      <w:bodyDiv w:val="1"/>
      <w:marLeft w:val="0"/>
      <w:marRight w:val="0"/>
      <w:marTop w:val="0"/>
      <w:marBottom w:val="0"/>
      <w:divBdr>
        <w:top w:val="none" w:sz="0" w:space="0" w:color="auto"/>
        <w:left w:val="none" w:sz="0" w:space="0" w:color="auto"/>
        <w:bottom w:val="none" w:sz="0" w:space="0" w:color="auto"/>
        <w:right w:val="none" w:sz="0" w:space="0" w:color="auto"/>
      </w:divBdr>
    </w:div>
    <w:div w:id="1793012044">
      <w:bodyDiv w:val="1"/>
      <w:marLeft w:val="0"/>
      <w:marRight w:val="0"/>
      <w:marTop w:val="0"/>
      <w:marBottom w:val="0"/>
      <w:divBdr>
        <w:top w:val="none" w:sz="0" w:space="0" w:color="auto"/>
        <w:left w:val="none" w:sz="0" w:space="0" w:color="auto"/>
        <w:bottom w:val="none" w:sz="0" w:space="0" w:color="auto"/>
        <w:right w:val="none" w:sz="0" w:space="0" w:color="auto"/>
      </w:divBdr>
    </w:div>
    <w:div w:id="1814785572">
      <w:bodyDiv w:val="1"/>
      <w:marLeft w:val="0"/>
      <w:marRight w:val="0"/>
      <w:marTop w:val="0"/>
      <w:marBottom w:val="0"/>
      <w:divBdr>
        <w:top w:val="none" w:sz="0" w:space="0" w:color="auto"/>
        <w:left w:val="none" w:sz="0" w:space="0" w:color="auto"/>
        <w:bottom w:val="none" w:sz="0" w:space="0" w:color="auto"/>
        <w:right w:val="none" w:sz="0" w:space="0" w:color="auto"/>
      </w:divBdr>
      <w:divsChild>
        <w:div w:id="1636568605">
          <w:marLeft w:val="547"/>
          <w:marRight w:val="0"/>
          <w:marTop w:val="154"/>
          <w:marBottom w:val="0"/>
          <w:divBdr>
            <w:top w:val="none" w:sz="0" w:space="0" w:color="auto"/>
            <w:left w:val="none" w:sz="0" w:space="0" w:color="auto"/>
            <w:bottom w:val="none" w:sz="0" w:space="0" w:color="auto"/>
            <w:right w:val="none" w:sz="0" w:space="0" w:color="auto"/>
          </w:divBdr>
        </w:div>
        <w:div w:id="1459566050">
          <w:marLeft w:val="547"/>
          <w:marRight w:val="0"/>
          <w:marTop w:val="154"/>
          <w:marBottom w:val="0"/>
          <w:divBdr>
            <w:top w:val="none" w:sz="0" w:space="0" w:color="auto"/>
            <w:left w:val="none" w:sz="0" w:space="0" w:color="auto"/>
            <w:bottom w:val="none" w:sz="0" w:space="0" w:color="auto"/>
            <w:right w:val="none" w:sz="0" w:space="0" w:color="auto"/>
          </w:divBdr>
        </w:div>
        <w:div w:id="611327328">
          <w:marLeft w:val="547"/>
          <w:marRight w:val="0"/>
          <w:marTop w:val="154"/>
          <w:marBottom w:val="0"/>
          <w:divBdr>
            <w:top w:val="none" w:sz="0" w:space="0" w:color="auto"/>
            <w:left w:val="none" w:sz="0" w:space="0" w:color="auto"/>
            <w:bottom w:val="none" w:sz="0" w:space="0" w:color="auto"/>
            <w:right w:val="none" w:sz="0" w:space="0" w:color="auto"/>
          </w:divBdr>
        </w:div>
      </w:divsChild>
    </w:div>
    <w:div w:id="1839686086">
      <w:bodyDiv w:val="1"/>
      <w:marLeft w:val="0"/>
      <w:marRight w:val="0"/>
      <w:marTop w:val="0"/>
      <w:marBottom w:val="0"/>
      <w:divBdr>
        <w:top w:val="none" w:sz="0" w:space="0" w:color="auto"/>
        <w:left w:val="none" w:sz="0" w:space="0" w:color="auto"/>
        <w:bottom w:val="none" w:sz="0" w:space="0" w:color="auto"/>
        <w:right w:val="none" w:sz="0" w:space="0" w:color="auto"/>
      </w:divBdr>
    </w:div>
    <w:div w:id="1926694363">
      <w:bodyDiv w:val="1"/>
      <w:marLeft w:val="0"/>
      <w:marRight w:val="0"/>
      <w:marTop w:val="0"/>
      <w:marBottom w:val="0"/>
      <w:divBdr>
        <w:top w:val="none" w:sz="0" w:space="0" w:color="auto"/>
        <w:left w:val="none" w:sz="0" w:space="0" w:color="auto"/>
        <w:bottom w:val="none" w:sz="0" w:space="0" w:color="auto"/>
        <w:right w:val="none" w:sz="0" w:space="0" w:color="auto"/>
      </w:divBdr>
    </w:div>
    <w:div w:id="1984239722">
      <w:bodyDiv w:val="1"/>
      <w:marLeft w:val="0"/>
      <w:marRight w:val="0"/>
      <w:marTop w:val="0"/>
      <w:marBottom w:val="0"/>
      <w:divBdr>
        <w:top w:val="none" w:sz="0" w:space="0" w:color="auto"/>
        <w:left w:val="none" w:sz="0" w:space="0" w:color="auto"/>
        <w:bottom w:val="none" w:sz="0" w:space="0" w:color="auto"/>
        <w:right w:val="none" w:sz="0" w:space="0" w:color="auto"/>
      </w:divBdr>
    </w:div>
    <w:div w:id="2005232193">
      <w:bodyDiv w:val="1"/>
      <w:marLeft w:val="0"/>
      <w:marRight w:val="0"/>
      <w:marTop w:val="0"/>
      <w:marBottom w:val="0"/>
      <w:divBdr>
        <w:top w:val="none" w:sz="0" w:space="0" w:color="auto"/>
        <w:left w:val="none" w:sz="0" w:space="0" w:color="auto"/>
        <w:bottom w:val="none" w:sz="0" w:space="0" w:color="auto"/>
        <w:right w:val="none" w:sz="0" w:space="0" w:color="auto"/>
      </w:divBdr>
    </w:div>
    <w:div w:id="2030794992">
      <w:bodyDiv w:val="1"/>
      <w:marLeft w:val="0"/>
      <w:marRight w:val="0"/>
      <w:marTop w:val="0"/>
      <w:marBottom w:val="0"/>
      <w:divBdr>
        <w:top w:val="none" w:sz="0" w:space="0" w:color="auto"/>
        <w:left w:val="none" w:sz="0" w:space="0" w:color="auto"/>
        <w:bottom w:val="none" w:sz="0" w:space="0" w:color="auto"/>
        <w:right w:val="none" w:sz="0" w:space="0" w:color="auto"/>
      </w:divBdr>
    </w:div>
    <w:div w:id="2049908087">
      <w:bodyDiv w:val="1"/>
      <w:marLeft w:val="0"/>
      <w:marRight w:val="0"/>
      <w:marTop w:val="0"/>
      <w:marBottom w:val="0"/>
      <w:divBdr>
        <w:top w:val="none" w:sz="0" w:space="0" w:color="auto"/>
        <w:left w:val="none" w:sz="0" w:space="0" w:color="auto"/>
        <w:bottom w:val="none" w:sz="0" w:space="0" w:color="auto"/>
        <w:right w:val="none" w:sz="0" w:space="0" w:color="auto"/>
      </w:divBdr>
    </w:div>
    <w:div w:id="205962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Paidamwoyo Mudzimuirema</dc:creator>
  <cp:keywords/>
  <dc:description/>
  <cp:lastModifiedBy>Willis Osemo</cp:lastModifiedBy>
  <cp:revision>2</cp:revision>
  <dcterms:created xsi:type="dcterms:W3CDTF">2023-05-04T08:40:00Z</dcterms:created>
  <dcterms:modified xsi:type="dcterms:W3CDTF">2023-05-04T08:40:00Z</dcterms:modified>
</cp:coreProperties>
</file>